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331EB" w14:textId="139E6E8E" w:rsidR="00F7662F" w:rsidRDefault="00F7662F" w:rsidP="00F7662F">
      <w:pPr>
        <w:pStyle w:val="Heading1"/>
      </w:pPr>
      <w:r>
        <w:t xml:space="preserve">Policy on Tax Contribution </w:t>
      </w:r>
    </w:p>
    <w:tbl>
      <w:tblPr>
        <w:tblStyle w:val="TableGrid"/>
        <w:tblW w:w="9918" w:type="dxa"/>
        <w:tblLook w:val="04A0" w:firstRow="1" w:lastRow="0" w:firstColumn="1" w:lastColumn="0" w:noHBand="0" w:noVBand="1"/>
      </w:tblPr>
      <w:tblGrid>
        <w:gridCol w:w="964"/>
        <w:gridCol w:w="1317"/>
        <w:gridCol w:w="1317"/>
        <w:gridCol w:w="2067"/>
        <w:gridCol w:w="4253"/>
      </w:tblGrid>
      <w:tr w:rsidR="00F7662F" w:rsidRPr="00D04148" w14:paraId="1BF49CDD" w14:textId="77777777" w:rsidTr="00D83EE8">
        <w:trPr>
          <w:trHeight w:val="253"/>
        </w:trPr>
        <w:tc>
          <w:tcPr>
            <w:tcW w:w="964" w:type="dxa"/>
            <w:hideMark/>
          </w:tcPr>
          <w:p w14:paraId="5C52D0CE" w14:textId="77777777" w:rsidR="00F7662F" w:rsidRPr="00D04148" w:rsidRDefault="00F7662F" w:rsidP="00D83EE8">
            <w:pPr>
              <w:rPr>
                <w:rFonts w:ascii="Avenir Medium" w:eastAsia="Times New Roman" w:hAnsi="Avenir Medium" w:cs="Times New Roman"/>
                <w:b/>
                <w:bCs/>
                <w:kern w:val="0"/>
                <w:lang w:eastAsia="en-GB"/>
                <w14:ligatures w14:val="none"/>
              </w:rPr>
            </w:pPr>
            <w:r w:rsidRPr="00D04148">
              <w:rPr>
                <w:rFonts w:ascii="Avenir Medium" w:eastAsia="Times New Roman" w:hAnsi="Avenir Medium" w:cs="Times New Roman"/>
                <w:b/>
                <w:bCs/>
                <w:kern w:val="0"/>
                <w:lang w:eastAsia="en-GB"/>
                <w14:ligatures w14:val="none"/>
              </w:rPr>
              <w:t>Version</w:t>
            </w:r>
          </w:p>
        </w:tc>
        <w:tc>
          <w:tcPr>
            <w:tcW w:w="1317" w:type="dxa"/>
            <w:hideMark/>
          </w:tcPr>
          <w:p w14:paraId="70214CF1" w14:textId="77777777" w:rsidR="00F7662F" w:rsidRPr="00D04148" w:rsidRDefault="00F7662F" w:rsidP="00D83EE8">
            <w:pPr>
              <w:rPr>
                <w:rFonts w:ascii="Avenir Medium" w:eastAsia="Times New Roman" w:hAnsi="Avenir Medium" w:cs="Times New Roman"/>
                <w:b/>
                <w:bCs/>
                <w:kern w:val="0"/>
                <w:lang w:eastAsia="en-GB"/>
                <w14:ligatures w14:val="none"/>
              </w:rPr>
            </w:pPr>
            <w:r w:rsidRPr="00D04148">
              <w:rPr>
                <w:rFonts w:ascii="Avenir Medium" w:eastAsia="Times New Roman" w:hAnsi="Avenir Medium" w:cs="Times New Roman"/>
                <w:b/>
                <w:bCs/>
                <w:kern w:val="0"/>
                <w:lang w:eastAsia="en-GB"/>
                <w14:ligatures w14:val="none"/>
              </w:rPr>
              <w:t>Issued</w:t>
            </w:r>
          </w:p>
        </w:tc>
        <w:tc>
          <w:tcPr>
            <w:tcW w:w="1317" w:type="dxa"/>
            <w:hideMark/>
          </w:tcPr>
          <w:p w14:paraId="4891BF26" w14:textId="77777777" w:rsidR="00F7662F" w:rsidRPr="00D04148" w:rsidRDefault="00F7662F" w:rsidP="00D83EE8">
            <w:pPr>
              <w:rPr>
                <w:rFonts w:ascii="Avenir Medium" w:eastAsia="Times New Roman" w:hAnsi="Avenir Medium" w:cs="Times New Roman"/>
                <w:b/>
                <w:bCs/>
                <w:kern w:val="0"/>
                <w:lang w:eastAsia="en-GB"/>
                <w14:ligatures w14:val="none"/>
              </w:rPr>
            </w:pPr>
            <w:r w:rsidRPr="00D04148">
              <w:rPr>
                <w:rFonts w:ascii="Avenir Medium" w:eastAsia="Times New Roman" w:hAnsi="Avenir Medium" w:cs="Times New Roman"/>
                <w:b/>
                <w:bCs/>
                <w:kern w:val="0"/>
                <w:lang w:eastAsia="en-GB"/>
                <w14:ligatures w14:val="none"/>
              </w:rPr>
              <w:t>Revised</w:t>
            </w:r>
          </w:p>
        </w:tc>
        <w:tc>
          <w:tcPr>
            <w:tcW w:w="2067" w:type="dxa"/>
          </w:tcPr>
          <w:p w14:paraId="1A5EE98D" w14:textId="77777777" w:rsidR="00F7662F" w:rsidRPr="00D04148" w:rsidRDefault="00F7662F" w:rsidP="00D83EE8">
            <w:pPr>
              <w:rPr>
                <w:rFonts w:ascii="Avenir Medium" w:eastAsia="Times New Roman" w:hAnsi="Avenir Medium" w:cs="Times New Roman"/>
                <w:b/>
                <w:bCs/>
                <w:kern w:val="0"/>
                <w:lang w:eastAsia="en-GB"/>
                <w14:ligatures w14:val="none"/>
              </w:rPr>
            </w:pPr>
            <w:r>
              <w:rPr>
                <w:rFonts w:ascii="Avenir Medium" w:eastAsia="Times New Roman" w:hAnsi="Avenir Medium" w:cs="Times New Roman"/>
                <w:b/>
                <w:bCs/>
                <w:kern w:val="0"/>
                <w:lang w:eastAsia="en-GB"/>
                <w14:ligatures w14:val="none"/>
              </w:rPr>
              <w:t>Next review due</w:t>
            </w:r>
          </w:p>
        </w:tc>
        <w:tc>
          <w:tcPr>
            <w:tcW w:w="4253" w:type="dxa"/>
            <w:hideMark/>
          </w:tcPr>
          <w:p w14:paraId="46328A68" w14:textId="77777777" w:rsidR="00F7662F" w:rsidRPr="00D04148" w:rsidRDefault="00F7662F" w:rsidP="00D83EE8">
            <w:pPr>
              <w:rPr>
                <w:rFonts w:ascii="Avenir Medium" w:eastAsia="Times New Roman" w:hAnsi="Avenir Medium" w:cs="Times New Roman"/>
                <w:b/>
                <w:bCs/>
                <w:kern w:val="0"/>
                <w:lang w:eastAsia="en-GB"/>
                <w14:ligatures w14:val="none"/>
              </w:rPr>
            </w:pPr>
            <w:r w:rsidRPr="00D04148">
              <w:rPr>
                <w:rFonts w:ascii="Avenir Medium" w:eastAsia="Times New Roman" w:hAnsi="Avenir Medium" w:cs="Times New Roman"/>
                <w:b/>
                <w:bCs/>
                <w:kern w:val="0"/>
                <w:lang w:eastAsia="en-GB"/>
                <w14:ligatures w14:val="none"/>
              </w:rPr>
              <w:t>Owner</w:t>
            </w:r>
          </w:p>
        </w:tc>
      </w:tr>
      <w:tr w:rsidR="00F7662F" w:rsidRPr="00D04148" w14:paraId="16CA07F2" w14:textId="77777777" w:rsidTr="00D83EE8">
        <w:trPr>
          <w:trHeight w:val="253"/>
        </w:trPr>
        <w:tc>
          <w:tcPr>
            <w:tcW w:w="964" w:type="dxa"/>
            <w:hideMark/>
          </w:tcPr>
          <w:p w14:paraId="12327F0A" w14:textId="77777777" w:rsidR="00F7662F" w:rsidRPr="00D04148" w:rsidRDefault="00F7662F" w:rsidP="00D83EE8">
            <w:pPr>
              <w:rPr>
                <w:rFonts w:ascii="Avenir Medium" w:eastAsia="Times New Roman" w:hAnsi="Avenir Medium" w:cs="Times New Roman"/>
                <w:kern w:val="0"/>
                <w:lang w:eastAsia="en-GB"/>
                <w14:ligatures w14:val="none"/>
              </w:rPr>
            </w:pPr>
            <w:r w:rsidRPr="00D04148">
              <w:rPr>
                <w:rFonts w:ascii="Avenir Medium" w:eastAsia="Times New Roman" w:hAnsi="Avenir Medium" w:cs="Times New Roman"/>
                <w:kern w:val="0"/>
                <w:lang w:eastAsia="en-GB"/>
                <w14:ligatures w14:val="none"/>
              </w:rPr>
              <w:t>1</w:t>
            </w:r>
          </w:p>
        </w:tc>
        <w:tc>
          <w:tcPr>
            <w:tcW w:w="1317" w:type="dxa"/>
            <w:hideMark/>
          </w:tcPr>
          <w:p w14:paraId="36405150" w14:textId="687DF981" w:rsidR="00F7662F" w:rsidRPr="00D04148" w:rsidRDefault="006C75BB" w:rsidP="00D83EE8">
            <w:pPr>
              <w:rPr>
                <w:rFonts w:ascii="Avenir Medium" w:eastAsia="Times New Roman" w:hAnsi="Avenir Medium" w:cs="Times New Roman"/>
                <w:kern w:val="0"/>
                <w:lang w:eastAsia="en-GB"/>
                <w14:ligatures w14:val="none"/>
              </w:rPr>
            </w:pPr>
            <w:r>
              <w:rPr>
                <w:rFonts w:ascii="Avenir Medium" w:eastAsia="Times New Roman" w:hAnsi="Avenir Medium" w:cs="Times New Roman"/>
                <w:kern w:val="0"/>
                <w:lang w:eastAsia="en-GB"/>
                <w14:ligatures w14:val="none"/>
              </w:rPr>
              <w:t>16.07</w:t>
            </w:r>
            <w:r w:rsidR="00F7662F">
              <w:rPr>
                <w:rFonts w:ascii="Avenir Medium" w:eastAsia="Times New Roman" w:hAnsi="Avenir Medium" w:cs="Times New Roman"/>
                <w:kern w:val="0"/>
                <w:lang w:eastAsia="en-GB"/>
                <w14:ligatures w14:val="none"/>
              </w:rPr>
              <w:t>.2025</w:t>
            </w:r>
          </w:p>
        </w:tc>
        <w:tc>
          <w:tcPr>
            <w:tcW w:w="1317" w:type="dxa"/>
            <w:hideMark/>
          </w:tcPr>
          <w:p w14:paraId="5C7C4A1F" w14:textId="43D9B7B5" w:rsidR="00F7662F" w:rsidRPr="00D04148" w:rsidRDefault="006C75BB" w:rsidP="00D83EE8">
            <w:pPr>
              <w:rPr>
                <w:rFonts w:ascii="Avenir Medium" w:eastAsia="Times New Roman" w:hAnsi="Avenir Medium" w:cs="Times New Roman"/>
                <w:kern w:val="0"/>
                <w:lang w:eastAsia="en-GB"/>
                <w14:ligatures w14:val="none"/>
              </w:rPr>
            </w:pPr>
            <w:r>
              <w:rPr>
                <w:rFonts w:ascii="Avenir Medium" w:eastAsia="Times New Roman" w:hAnsi="Avenir Medium" w:cs="Times New Roman"/>
                <w:kern w:val="0"/>
                <w:lang w:eastAsia="en-GB"/>
                <w14:ligatures w14:val="none"/>
              </w:rPr>
              <w:t>-</w:t>
            </w:r>
          </w:p>
        </w:tc>
        <w:tc>
          <w:tcPr>
            <w:tcW w:w="2067" w:type="dxa"/>
          </w:tcPr>
          <w:p w14:paraId="27345BDC" w14:textId="77777777" w:rsidR="00F7662F" w:rsidRDefault="00F7662F" w:rsidP="00D83EE8">
            <w:pPr>
              <w:rPr>
                <w:rFonts w:ascii="Avenir Medium" w:eastAsia="Times New Roman" w:hAnsi="Avenir Medium" w:cs="Times New Roman"/>
                <w:kern w:val="0"/>
                <w:lang w:eastAsia="en-GB"/>
                <w14:ligatures w14:val="none"/>
              </w:rPr>
            </w:pPr>
            <w:r>
              <w:rPr>
                <w:rFonts w:ascii="Avenir Medium" w:eastAsia="Times New Roman" w:hAnsi="Avenir Medium" w:cs="Times New Roman"/>
                <w:kern w:val="0"/>
                <w:lang w:eastAsia="en-GB"/>
                <w14:ligatures w14:val="none"/>
              </w:rPr>
              <w:t>30.12.2026</w:t>
            </w:r>
          </w:p>
        </w:tc>
        <w:tc>
          <w:tcPr>
            <w:tcW w:w="4253" w:type="dxa"/>
            <w:hideMark/>
          </w:tcPr>
          <w:p w14:paraId="1EB4BD2C" w14:textId="77777777" w:rsidR="00F7662F" w:rsidRPr="00D04148" w:rsidRDefault="00F7662F" w:rsidP="00D83EE8">
            <w:pPr>
              <w:rPr>
                <w:rFonts w:ascii="Avenir Medium" w:eastAsia="Times New Roman" w:hAnsi="Avenir Medium" w:cs="Times New Roman"/>
                <w:kern w:val="0"/>
                <w:lang w:eastAsia="en-GB"/>
                <w14:ligatures w14:val="none"/>
              </w:rPr>
            </w:pPr>
            <w:r>
              <w:rPr>
                <w:rFonts w:ascii="Avenir Medium" w:eastAsia="Times New Roman" w:hAnsi="Avenir Medium" w:cs="Times New Roman"/>
                <w:kern w:val="0"/>
                <w:lang w:eastAsia="en-GB"/>
                <w14:ligatures w14:val="none"/>
              </w:rPr>
              <w:t>AMDAP ESG Leadership Group</w:t>
            </w:r>
          </w:p>
        </w:tc>
      </w:tr>
    </w:tbl>
    <w:p w14:paraId="4F71D059" w14:textId="77777777" w:rsidR="00F7662F" w:rsidRPr="00F7662F" w:rsidRDefault="00F7662F" w:rsidP="00F7662F"/>
    <w:p w14:paraId="64F33F84" w14:textId="77777777" w:rsidR="00F7662F" w:rsidRPr="00F7662F" w:rsidRDefault="00F7662F" w:rsidP="00F7662F">
      <w:pPr>
        <w:keepNext/>
        <w:keepLines/>
        <w:numPr>
          <w:ilvl w:val="0"/>
          <w:numId w:val="1"/>
        </w:numPr>
        <w:spacing w:before="160" w:after="80"/>
        <w:outlineLvl w:val="1"/>
        <w:rPr>
          <w:rFonts w:asciiTheme="majorHAnsi" w:eastAsia="Times New Roman" w:hAnsiTheme="majorHAnsi" w:cstheme="majorBidi"/>
          <w:color w:val="0F4761" w:themeColor="accent1" w:themeShade="BF"/>
          <w:sz w:val="32"/>
          <w:szCs w:val="32"/>
          <w:lang w:eastAsia="en-GB"/>
        </w:rPr>
      </w:pPr>
      <w:r w:rsidRPr="00F7662F">
        <w:rPr>
          <w:rFonts w:asciiTheme="majorHAnsi" w:eastAsia="Times New Roman" w:hAnsiTheme="majorHAnsi" w:cstheme="majorBidi"/>
          <w:color w:val="0F4761" w:themeColor="accent1" w:themeShade="BF"/>
          <w:sz w:val="32"/>
          <w:szCs w:val="32"/>
          <w:lang w:eastAsia="en-GB"/>
        </w:rPr>
        <w:t>Scope</w:t>
      </w:r>
    </w:p>
    <w:p w14:paraId="71131231" w14:textId="0311E466" w:rsidR="00F7662F" w:rsidRPr="00F7662F" w:rsidRDefault="00F7662F" w:rsidP="00F7662F">
      <w:pPr>
        <w:spacing w:before="100" w:beforeAutospacing="1" w:after="100" w:afterAutospacing="1" w:line="240" w:lineRule="auto"/>
        <w:rPr>
          <w:rFonts w:ascii="Avenir Medium" w:eastAsia="Times New Roman" w:hAnsi="Avenir Medium" w:cs="Times New Roman"/>
          <w:kern w:val="0"/>
          <w:lang w:eastAsia="en-GB"/>
          <w14:ligatures w14:val="none"/>
        </w:rPr>
      </w:pPr>
      <w:r w:rsidRPr="00F7662F">
        <w:rPr>
          <w:rFonts w:ascii="Avenir Medium" w:eastAsia="Times New Roman" w:hAnsi="Avenir Medium" w:cs="Times New Roman"/>
          <w:kern w:val="0"/>
          <w:lang w:eastAsia="en-GB"/>
          <w14:ligatures w14:val="none"/>
        </w:rPr>
        <w:t>This policy applies to all PADMA Directors, employees, accountants and financial advisors.</w:t>
      </w:r>
    </w:p>
    <w:p w14:paraId="353F0EC2" w14:textId="33E8B0A0" w:rsidR="00F7662F" w:rsidRPr="00F7662F" w:rsidRDefault="00F7662F" w:rsidP="00F7662F">
      <w:pPr>
        <w:pStyle w:val="ListParagraph"/>
        <w:keepNext/>
        <w:keepLines/>
        <w:numPr>
          <w:ilvl w:val="0"/>
          <w:numId w:val="1"/>
        </w:numPr>
        <w:spacing w:before="160" w:after="80"/>
        <w:outlineLvl w:val="1"/>
        <w:rPr>
          <w:rFonts w:asciiTheme="majorHAnsi" w:eastAsia="Times New Roman" w:hAnsiTheme="majorHAnsi" w:cstheme="majorBidi"/>
          <w:color w:val="0F4761" w:themeColor="accent1" w:themeShade="BF"/>
          <w:sz w:val="32"/>
          <w:szCs w:val="32"/>
          <w:lang w:eastAsia="en-GB"/>
        </w:rPr>
      </w:pPr>
      <w:r w:rsidRPr="00F7662F">
        <w:rPr>
          <w:rFonts w:asciiTheme="majorHAnsi" w:eastAsia="Times New Roman" w:hAnsiTheme="majorHAnsi" w:cstheme="majorBidi"/>
          <w:color w:val="0F4761" w:themeColor="accent1" w:themeShade="BF"/>
          <w:sz w:val="32"/>
          <w:szCs w:val="32"/>
          <w:lang w:eastAsia="en-GB"/>
        </w:rPr>
        <w:t>Purpose</w:t>
      </w:r>
    </w:p>
    <w:p w14:paraId="687F2DDD" w14:textId="402F8C5C" w:rsidR="00F7662F" w:rsidRDefault="00F7662F">
      <w:r>
        <w:t xml:space="preserve">AMDAP Limited (‘The Group’)  </w:t>
      </w:r>
      <w:r w:rsidRPr="00F7662F">
        <w:t xml:space="preserve">is committed to being a responsible tax payer and to ensuring that all of its tax liabilities are met where and when they fall due. </w:t>
      </w:r>
    </w:p>
    <w:p w14:paraId="69B3FD95" w14:textId="2793EEFB" w:rsidR="00F7662F" w:rsidRPr="00F7662F" w:rsidRDefault="00F7662F" w:rsidP="00F7662F">
      <w:pPr>
        <w:pStyle w:val="ListParagraph"/>
        <w:keepNext/>
        <w:keepLines/>
        <w:numPr>
          <w:ilvl w:val="0"/>
          <w:numId w:val="1"/>
        </w:numPr>
        <w:spacing w:before="160" w:after="80"/>
        <w:outlineLvl w:val="1"/>
        <w:rPr>
          <w:rFonts w:asciiTheme="majorHAnsi" w:eastAsia="Times New Roman" w:hAnsiTheme="majorHAnsi" w:cstheme="majorBidi"/>
          <w:color w:val="0F4761" w:themeColor="accent1" w:themeShade="BF"/>
          <w:sz w:val="32"/>
          <w:szCs w:val="32"/>
          <w:lang w:eastAsia="en-GB"/>
        </w:rPr>
      </w:pPr>
      <w:r w:rsidRPr="00F7662F">
        <w:rPr>
          <w:rFonts w:asciiTheme="majorHAnsi" w:eastAsia="Times New Roman" w:hAnsiTheme="majorHAnsi" w:cstheme="majorBidi"/>
          <w:color w:val="0F4761" w:themeColor="accent1" w:themeShade="BF"/>
          <w:sz w:val="32"/>
          <w:szCs w:val="32"/>
          <w:lang w:eastAsia="en-GB"/>
        </w:rPr>
        <w:t>Definitions and Principles</w:t>
      </w:r>
    </w:p>
    <w:p w14:paraId="39141A0A" w14:textId="77777777" w:rsidR="00F7662F" w:rsidRPr="00F7662F" w:rsidRDefault="00F7662F" w:rsidP="00F7662F">
      <w:pPr>
        <w:spacing w:before="100" w:beforeAutospacing="1" w:after="100" w:afterAutospacing="1" w:line="240" w:lineRule="auto"/>
        <w:rPr>
          <w:rFonts w:ascii="Avenir Medium" w:eastAsia="Times New Roman" w:hAnsi="Avenir Medium" w:cs="Times New Roman"/>
          <w:kern w:val="0"/>
          <w:lang w:eastAsia="en-GB"/>
          <w14:ligatures w14:val="none"/>
        </w:rPr>
      </w:pPr>
      <w:r w:rsidRPr="00F7662F">
        <w:rPr>
          <w:rFonts w:ascii="Avenir Medium" w:eastAsia="Times New Roman" w:hAnsi="Avenir Medium" w:cs="Times New Roman"/>
          <w:b/>
          <w:bCs/>
          <w:kern w:val="0"/>
          <w:lang w:eastAsia="en-GB"/>
          <w14:ligatures w14:val="none"/>
        </w:rPr>
        <w:t>Compliance:</w:t>
      </w:r>
      <w:r w:rsidRPr="00F7662F">
        <w:rPr>
          <w:rFonts w:ascii="Avenir Medium" w:eastAsia="Times New Roman" w:hAnsi="Avenir Medium" w:cs="Times New Roman"/>
          <w:kern w:val="0"/>
          <w:lang w:eastAsia="en-GB"/>
          <w14:ligatures w14:val="none"/>
        </w:rPr>
        <w:t xml:space="preserve"> We will comply fully with all applicable tax laws, rules, and regulations in each jurisdiction where we have a taxable presence.</w:t>
      </w:r>
    </w:p>
    <w:p w14:paraId="5337D476" w14:textId="77777777" w:rsidR="00F7662F" w:rsidRPr="00F7662F" w:rsidRDefault="00F7662F" w:rsidP="00F7662F">
      <w:pPr>
        <w:spacing w:before="100" w:beforeAutospacing="1" w:after="100" w:afterAutospacing="1" w:line="240" w:lineRule="auto"/>
        <w:rPr>
          <w:rFonts w:ascii="Avenir Medium" w:eastAsia="Times New Roman" w:hAnsi="Avenir Medium" w:cs="Times New Roman"/>
          <w:kern w:val="0"/>
          <w:lang w:eastAsia="en-GB"/>
          <w14:ligatures w14:val="none"/>
        </w:rPr>
      </w:pPr>
      <w:r w:rsidRPr="00F7662F">
        <w:rPr>
          <w:rFonts w:ascii="Avenir Medium" w:eastAsia="Times New Roman" w:hAnsi="Avenir Medium" w:cs="Times New Roman"/>
          <w:b/>
          <w:bCs/>
          <w:kern w:val="0"/>
          <w:lang w:eastAsia="en-GB"/>
          <w14:ligatures w14:val="none"/>
        </w:rPr>
        <w:t>Transparency:</w:t>
      </w:r>
      <w:r w:rsidRPr="00F7662F">
        <w:rPr>
          <w:rFonts w:ascii="Avenir Medium" w:eastAsia="Times New Roman" w:hAnsi="Avenir Medium" w:cs="Times New Roman"/>
          <w:kern w:val="0"/>
          <w:lang w:eastAsia="en-GB"/>
          <w14:ligatures w14:val="none"/>
        </w:rPr>
        <w:t xml:space="preserve"> We will be transparent with tax authorities and other stakeholders regarding our tax affairs, within the bounds of commercial confidentiality and legal requirements.</w:t>
      </w:r>
    </w:p>
    <w:p w14:paraId="2C252850" w14:textId="4C10D1A6" w:rsidR="00F7662F" w:rsidRPr="00F4017A" w:rsidRDefault="00F7662F" w:rsidP="00F7662F">
      <w:pPr>
        <w:pStyle w:val="ListParagraph"/>
        <w:keepNext/>
        <w:keepLines/>
        <w:numPr>
          <w:ilvl w:val="0"/>
          <w:numId w:val="1"/>
        </w:numPr>
        <w:spacing w:before="160" w:after="80"/>
        <w:outlineLvl w:val="1"/>
        <w:rPr>
          <w:rFonts w:asciiTheme="majorHAnsi" w:eastAsia="Times New Roman" w:hAnsiTheme="majorHAnsi" w:cstheme="majorBidi"/>
          <w:color w:val="0F4761" w:themeColor="accent1" w:themeShade="BF"/>
          <w:sz w:val="32"/>
          <w:szCs w:val="32"/>
          <w:lang w:eastAsia="en-GB"/>
        </w:rPr>
      </w:pPr>
      <w:r w:rsidRPr="00F7662F">
        <w:rPr>
          <w:rFonts w:asciiTheme="majorHAnsi" w:eastAsia="Times New Roman" w:hAnsiTheme="majorHAnsi" w:cstheme="majorBidi"/>
          <w:color w:val="0F4761" w:themeColor="accent1" w:themeShade="BF"/>
          <w:sz w:val="32"/>
          <w:szCs w:val="32"/>
          <w:lang w:eastAsia="en-GB"/>
        </w:rPr>
        <w:t xml:space="preserve">Our Commitment </w:t>
      </w:r>
    </w:p>
    <w:p w14:paraId="6A2BEC84" w14:textId="3C47A98B" w:rsidR="00F7662F" w:rsidRDefault="00F7662F">
      <w:r w:rsidRPr="00F7662F">
        <w:t>During the course of its operations, the</w:t>
      </w:r>
      <w:r>
        <w:t xml:space="preserve"> AMDAP</w:t>
      </w:r>
      <w:r w:rsidRPr="00F7662F">
        <w:t xml:space="preserve"> Group seeks to actively identify and manage tax risks by maintaining up to date knowledge of tax rules and regulations and by ensuring a strong </w:t>
      </w:r>
      <w:r>
        <w:t>f</w:t>
      </w:r>
      <w:r w:rsidRPr="00F7662F">
        <w:t xml:space="preserve">inancial control environment is in place. </w:t>
      </w:r>
    </w:p>
    <w:p w14:paraId="33EE0A6C" w14:textId="70F75121" w:rsidR="00F7662F" w:rsidRPr="00F7662F" w:rsidRDefault="00F7662F" w:rsidP="00F7662F">
      <w:pPr>
        <w:pStyle w:val="ListParagraph"/>
        <w:keepNext/>
        <w:keepLines/>
        <w:numPr>
          <w:ilvl w:val="0"/>
          <w:numId w:val="1"/>
        </w:numPr>
        <w:spacing w:before="160" w:after="80"/>
        <w:outlineLvl w:val="1"/>
        <w:rPr>
          <w:rFonts w:asciiTheme="majorHAnsi" w:eastAsia="Times New Roman" w:hAnsiTheme="majorHAnsi" w:cstheme="majorBidi"/>
          <w:color w:val="0F4761" w:themeColor="accent1" w:themeShade="BF"/>
          <w:sz w:val="32"/>
          <w:szCs w:val="32"/>
          <w:lang w:eastAsia="en-GB"/>
        </w:rPr>
      </w:pPr>
      <w:r w:rsidRPr="00F7662F">
        <w:rPr>
          <w:rFonts w:asciiTheme="majorHAnsi" w:eastAsia="Times New Roman" w:hAnsiTheme="majorHAnsi" w:cstheme="majorBidi"/>
          <w:color w:val="0F4761" w:themeColor="accent1" w:themeShade="BF"/>
          <w:sz w:val="32"/>
          <w:szCs w:val="32"/>
          <w:lang w:eastAsia="en-GB"/>
        </w:rPr>
        <w:t>Policy and Procedures</w:t>
      </w:r>
    </w:p>
    <w:p w14:paraId="1D7405AF" w14:textId="77777777" w:rsidR="00F7662F" w:rsidRDefault="00F7662F">
      <w:r w:rsidRPr="00F7662F">
        <w:t>Through the course of its business, the Group claims any reliefs, allowances, deductions etc to which it is entitled, based on the substance of the transactions undertaken. Where appropriate, formal external advice is sought.</w:t>
      </w:r>
    </w:p>
    <w:p w14:paraId="454BC650" w14:textId="1DBB1B58" w:rsidR="00F7662F" w:rsidRPr="00F4017A" w:rsidRDefault="00F4017A">
      <w:pPr>
        <w:rPr>
          <w:b/>
          <w:bCs/>
        </w:rPr>
      </w:pPr>
      <w:r w:rsidRPr="00F4017A">
        <w:rPr>
          <w:b/>
          <w:bCs/>
        </w:rPr>
        <w:t xml:space="preserve">5.1 </w:t>
      </w:r>
      <w:r w:rsidR="00F7662F" w:rsidRPr="00F4017A">
        <w:rPr>
          <w:b/>
          <w:bCs/>
        </w:rPr>
        <w:t xml:space="preserve"> </w:t>
      </w:r>
      <w:r w:rsidRPr="00F4017A">
        <w:rPr>
          <w:b/>
          <w:bCs/>
        </w:rPr>
        <w:t>Acceptable levels of tax risk</w:t>
      </w:r>
    </w:p>
    <w:p w14:paraId="3DEB7283" w14:textId="77777777" w:rsidR="00F7662F" w:rsidRDefault="00F7662F">
      <w:r w:rsidRPr="00F7662F">
        <w:t>In line with its commitment to being a responsible tax payer,</w:t>
      </w:r>
      <w:r>
        <w:t xml:space="preserve"> AMDAP</w:t>
      </w:r>
      <w:r w:rsidRPr="00F7662F">
        <w:t xml:space="preserve"> takes a prudent approach to risk in relation to tax matters. The strong governance environment ensures that tax risks are identified as early as possible, allowing the Board to take an informed decision as to how any such risks are addressed.</w:t>
      </w:r>
    </w:p>
    <w:p w14:paraId="12F40040" w14:textId="30A86D01" w:rsidR="00F4017A" w:rsidRPr="00F4017A" w:rsidRDefault="00F4017A">
      <w:pPr>
        <w:rPr>
          <w:b/>
          <w:bCs/>
        </w:rPr>
      </w:pPr>
      <w:r w:rsidRPr="00F4017A">
        <w:rPr>
          <w:b/>
          <w:bCs/>
        </w:rPr>
        <w:t xml:space="preserve">5.2 </w:t>
      </w:r>
      <w:r w:rsidR="00F7662F" w:rsidRPr="00F4017A">
        <w:rPr>
          <w:b/>
          <w:bCs/>
        </w:rPr>
        <w:t xml:space="preserve"> </w:t>
      </w:r>
      <w:r w:rsidRPr="00F4017A">
        <w:rPr>
          <w:b/>
          <w:bCs/>
        </w:rPr>
        <w:t>Relationship with Regulators</w:t>
      </w:r>
      <w:r w:rsidR="00F7662F" w:rsidRPr="00F4017A">
        <w:rPr>
          <w:b/>
          <w:bCs/>
        </w:rPr>
        <w:t xml:space="preserve"> </w:t>
      </w:r>
    </w:p>
    <w:p w14:paraId="6FBF08AF" w14:textId="59364B4F" w:rsidR="002F534A" w:rsidRDefault="00F7662F">
      <w:r>
        <w:t>AMDAP</w:t>
      </w:r>
      <w:r w:rsidRPr="00F7662F">
        <w:t xml:space="preserve"> is committed to maintaining an open, professional and transparent relationship with </w:t>
      </w:r>
      <w:r>
        <w:t>regulatory authorities,</w:t>
      </w:r>
      <w:r w:rsidRPr="00F7662F">
        <w:t xml:space="preserve"> and to work collaboratively to resolve any queries in a timely and satisfactory manner. The Group is committed to ensuring that </w:t>
      </w:r>
      <w:r>
        <w:t xml:space="preserve">relevant authorities </w:t>
      </w:r>
      <w:r w:rsidRPr="00F7662F">
        <w:t xml:space="preserve">are informed </w:t>
      </w:r>
      <w:r w:rsidRPr="00F7662F">
        <w:lastRenderedPageBreak/>
        <w:t>of any relevant commercial developments or transactions, where there may complex tax implications.</w:t>
      </w:r>
    </w:p>
    <w:p w14:paraId="41F8898C" w14:textId="083ADBAC" w:rsidR="00F7662F" w:rsidRPr="00F7662F" w:rsidRDefault="00F7662F" w:rsidP="00F7662F">
      <w:pPr>
        <w:pStyle w:val="ListParagraph"/>
        <w:keepNext/>
        <w:keepLines/>
        <w:numPr>
          <w:ilvl w:val="0"/>
          <w:numId w:val="1"/>
        </w:numPr>
        <w:spacing w:before="160" w:after="80"/>
        <w:outlineLvl w:val="1"/>
        <w:rPr>
          <w:rFonts w:asciiTheme="majorHAnsi" w:eastAsia="Times New Roman" w:hAnsiTheme="majorHAnsi" w:cstheme="majorBidi"/>
          <w:color w:val="0F4761" w:themeColor="accent1" w:themeShade="BF"/>
          <w:sz w:val="32"/>
          <w:szCs w:val="32"/>
          <w:lang w:eastAsia="en-GB"/>
        </w:rPr>
      </w:pPr>
      <w:r w:rsidRPr="00F7662F">
        <w:rPr>
          <w:rFonts w:asciiTheme="majorHAnsi" w:eastAsia="Times New Roman" w:hAnsiTheme="majorHAnsi" w:cstheme="majorBidi"/>
          <w:color w:val="0F4761" w:themeColor="accent1" w:themeShade="BF"/>
          <w:sz w:val="32"/>
          <w:szCs w:val="32"/>
          <w:lang w:eastAsia="en-GB"/>
        </w:rPr>
        <w:t>Implementation and Responsibilities</w:t>
      </w:r>
    </w:p>
    <w:p w14:paraId="672D1A26" w14:textId="244003FA" w:rsidR="00F7662F" w:rsidRDefault="00F7662F" w:rsidP="00F7662F">
      <w:r>
        <w:t>AMDAP</w:t>
      </w:r>
      <w:r w:rsidRPr="00F7662F">
        <w:t xml:space="preserve"> Directors </w:t>
      </w:r>
      <w:r>
        <w:t>are</w:t>
      </w:r>
      <w:r w:rsidRPr="00F7662F">
        <w:t xml:space="preserve"> ultimately responsible for setting and ensuring compliance with this </w:t>
      </w:r>
      <w:r>
        <w:t>tax policy</w:t>
      </w:r>
      <w:r w:rsidRPr="00F7662F">
        <w:t xml:space="preserve">. </w:t>
      </w:r>
    </w:p>
    <w:p w14:paraId="48511253" w14:textId="77777777" w:rsidR="00F7662F" w:rsidRDefault="00F7662F" w:rsidP="00F7662F">
      <w:r w:rsidRPr="00F7662F">
        <w:t xml:space="preserve">The Chief </w:t>
      </w:r>
      <w:r>
        <w:t>Financial Officer</w:t>
      </w:r>
      <w:r w:rsidRPr="00F7662F">
        <w:t xml:space="preserve"> has executive responsibility for tax</w:t>
      </w:r>
      <w:r>
        <w:t xml:space="preserve">, </w:t>
      </w:r>
      <w:r w:rsidRPr="00F7662F">
        <w:t xml:space="preserve">and day-to-day management may be delegated to appropriately qualified members of the Finance Department. </w:t>
      </w:r>
    </w:p>
    <w:p w14:paraId="6938D0EB" w14:textId="77777777" w:rsidR="00F7662F" w:rsidRDefault="00F7662F" w:rsidP="00F7662F">
      <w:r w:rsidRPr="00F7662F">
        <w:t xml:space="preserve">Where appropriate, the Group obtains external professional advice to evaluate risk, ensure compliance to complex tax laws and implement best practice. </w:t>
      </w:r>
    </w:p>
    <w:p w14:paraId="49E0ABB9" w14:textId="032B74B2" w:rsidR="00F4017A" w:rsidRPr="00F4017A" w:rsidRDefault="00F4017A" w:rsidP="00F4017A">
      <w:pPr>
        <w:pStyle w:val="ListParagraph"/>
        <w:keepNext/>
        <w:keepLines/>
        <w:numPr>
          <w:ilvl w:val="0"/>
          <w:numId w:val="1"/>
        </w:numPr>
        <w:spacing w:before="160" w:after="80"/>
        <w:outlineLvl w:val="1"/>
        <w:rPr>
          <w:rFonts w:asciiTheme="majorHAnsi" w:eastAsia="Times New Roman" w:hAnsiTheme="majorHAnsi" w:cstheme="majorBidi"/>
          <w:color w:val="0F4761" w:themeColor="accent1" w:themeShade="BF"/>
          <w:sz w:val="32"/>
          <w:szCs w:val="32"/>
          <w:lang w:eastAsia="en-GB"/>
        </w:rPr>
      </w:pPr>
      <w:r w:rsidRPr="00F4017A">
        <w:rPr>
          <w:rFonts w:asciiTheme="majorHAnsi" w:eastAsia="Times New Roman" w:hAnsiTheme="majorHAnsi" w:cstheme="majorBidi"/>
          <w:color w:val="0F4761" w:themeColor="accent1" w:themeShade="BF"/>
          <w:sz w:val="32"/>
          <w:szCs w:val="32"/>
          <w:lang w:eastAsia="en-GB"/>
        </w:rPr>
        <w:t>Monitoring and Review</w:t>
      </w:r>
    </w:p>
    <w:p w14:paraId="4B28A828" w14:textId="77777777" w:rsidR="00F4017A" w:rsidRPr="00F4017A" w:rsidRDefault="00F4017A" w:rsidP="00F4017A">
      <w:pPr>
        <w:spacing w:before="100" w:beforeAutospacing="1" w:after="100" w:afterAutospacing="1" w:line="240" w:lineRule="auto"/>
        <w:rPr>
          <w:rFonts w:ascii="Avenir Medium" w:eastAsia="Times New Roman" w:hAnsi="Avenir Medium" w:cs="Times New Roman"/>
          <w:kern w:val="0"/>
          <w:lang w:eastAsia="en-GB"/>
          <w14:ligatures w14:val="none"/>
        </w:rPr>
      </w:pPr>
      <w:r w:rsidRPr="00F4017A">
        <w:rPr>
          <w:rFonts w:ascii="Avenir Medium" w:eastAsia="Times New Roman" w:hAnsi="Avenir Medium" w:cs="Times New Roman"/>
          <w:kern w:val="0"/>
          <w:lang w:eastAsia="en-GB"/>
          <w14:ligatures w14:val="none"/>
        </w:rPr>
        <w:t xml:space="preserve">AMDAP Directors will consider the effectiveness of this policy </w:t>
      </w:r>
    </w:p>
    <w:p w14:paraId="71C7D919" w14:textId="495455EF" w:rsidR="00F4017A" w:rsidRPr="00F4017A" w:rsidRDefault="00F4017A" w:rsidP="00F4017A">
      <w:pPr>
        <w:spacing w:before="100" w:beforeAutospacing="1" w:after="100" w:afterAutospacing="1" w:line="240" w:lineRule="auto"/>
        <w:rPr>
          <w:rFonts w:ascii="Avenir Medium" w:hAnsi="Avenir Medium"/>
        </w:rPr>
      </w:pPr>
      <w:r w:rsidRPr="00F4017A">
        <w:rPr>
          <w:rFonts w:ascii="Avenir Medium" w:hAnsi="Avenir Medium"/>
        </w:rPr>
        <w:t xml:space="preserve">The ongoing effectiveness of this </w:t>
      </w:r>
      <w:r>
        <w:rPr>
          <w:rFonts w:ascii="Avenir Medium" w:hAnsi="Avenir Medium"/>
        </w:rPr>
        <w:t>Tax Contribution</w:t>
      </w:r>
      <w:r w:rsidRPr="00F4017A">
        <w:rPr>
          <w:rFonts w:ascii="Avenir Medium" w:hAnsi="Avenir Medium"/>
        </w:rPr>
        <w:t xml:space="preserve"> Policy will be ensured through systematic monitoring of tax compliance and reporting. </w:t>
      </w:r>
    </w:p>
    <w:p w14:paraId="359CBB25" w14:textId="42EF3646" w:rsidR="00F4017A" w:rsidRPr="00F4017A" w:rsidRDefault="00F4017A" w:rsidP="00F4017A">
      <w:pPr>
        <w:spacing w:before="100" w:beforeAutospacing="1" w:after="100" w:afterAutospacing="1" w:line="240" w:lineRule="auto"/>
        <w:rPr>
          <w:rFonts w:ascii="Avenir Medium" w:hAnsi="Avenir Medium"/>
        </w:rPr>
      </w:pPr>
      <w:r w:rsidRPr="00F4017A">
        <w:rPr>
          <w:rFonts w:ascii="Avenir Medium" w:hAnsi="Avenir Medium"/>
        </w:rPr>
        <w:t xml:space="preserve">Periodic reviews, conducted by the Finance department, will assess the policy's continued relevance against evolving tax legislation and best practices. This process will facilitate necessary updates and maintain alignment with PADMA]s commitment to </w:t>
      </w:r>
      <w:r>
        <w:rPr>
          <w:rFonts w:ascii="Avenir Medium" w:hAnsi="Avenir Medium"/>
        </w:rPr>
        <w:t xml:space="preserve">compliant </w:t>
      </w:r>
      <w:r w:rsidRPr="00F4017A">
        <w:rPr>
          <w:rFonts w:ascii="Avenir Medium" w:hAnsi="Avenir Medium"/>
        </w:rPr>
        <w:t>tax contribution</w:t>
      </w:r>
      <w:r>
        <w:rPr>
          <w:rFonts w:ascii="Avenir Medium" w:hAnsi="Avenir Medium"/>
        </w:rPr>
        <w:t xml:space="preserve">. </w:t>
      </w:r>
    </w:p>
    <w:p w14:paraId="62A40326" w14:textId="30210040" w:rsidR="00F4017A" w:rsidRPr="006C75BB" w:rsidRDefault="00F4017A" w:rsidP="006C75BB">
      <w:pPr>
        <w:pStyle w:val="ListParagraph"/>
        <w:keepNext/>
        <w:keepLines/>
        <w:numPr>
          <w:ilvl w:val="0"/>
          <w:numId w:val="1"/>
        </w:numPr>
        <w:spacing w:before="160" w:after="80"/>
        <w:outlineLvl w:val="1"/>
        <w:rPr>
          <w:rFonts w:asciiTheme="majorHAnsi" w:eastAsia="Times New Roman" w:hAnsiTheme="majorHAnsi" w:cstheme="majorBidi"/>
          <w:color w:val="0F4761" w:themeColor="accent1" w:themeShade="BF"/>
          <w:sz w:val="32"/>
          <w:szCs w:val="32"/>
          <w:lang w:eastAsia="en-GB"/>
        </w:rPr>
      </w:pPr>
      <w:r w:rsidRPr="006C75BB">
        <w:rPr>
          <w:rFonts w:asciiTheme="majorHAnsi" w:eastAsia="Times New Roman" w:hAnsiTheme="majorHAnsi" w:cstheme="majorBidi"/>
          <w:color w:val="0F4761" w:themeColor="accent1" w:themeShade="BF"/>
          <w:sz w:val="32"/>
          <w:szCs w:val="32"/>
          <w:lang w:eastAsia="en-GB"/>
        </w:rPr>
        <w:t xml:space="preserve">Approval </w:t>
      </w:r>
    </w:p>
    <w:p w14:paraId="66785044" w14:textId="77777777" w:rsidR="00EA4A42" w:rsidRDefault="00EA4A42" w:rsidP="00EA4A42">
      <w:pPr>
        <w:spacing w:before="100" w:beforeAutospacing="1" w:after="100" w:afterAutospacing="1" w:line="240" w:lineRule="auto"/>
        <w:rPr>
          <w:rFonts w:ascii="Avenir Medium" w:eastAsia="Times New Roman" w:hAnsi="Avenir Medium" w:cs="Times New Roman"/>
          <w:b/>
          <w:bCs/>
          <w:kern w:val="0"/>
          <w:lang w:eastAsia="en-GB"/>
          <w14:ligatures w14:val="none"/>
        </w:rPr>
      </w:pPr>
      <w:r>
        <w:rPr>
          <w:rFonts w:ascii="Avenir Medium" w:eastAsia="Times New Roman" w:hAnsi="Avenir Medium" w:cs="Times New Roman"/>
          <w:b/>
          <w:bCs/>
          <w:kern w:val="0"/>
          <w:lang w:eastAsia="en-GB"/>
          <w14:ligatures w14:val="none"/>
        </w:rPr>
        <w:t xml:space="preserve">Approved by Padma Textiles ESG Leadership Group </w:t>
      </w:r>
    </w:p>
    <w:p w14:paraId="30AC2F4C" w14:textId="77777777" w:rsidR="00EA4A42" w:rsidRDefault="00EA4A42" w:rsidP="00EA4A42">
      <w:pPr>
        <w:spacing w:before="100" w:beforeAutospacing="1" w:after="100" w:afterAutospacing="1" w:line="240" w:lineRule="auto"/>
        <w:rPr>
          <w:rFonts w:ascii="Avenir Medium" w:eastAsia="Times New Roman" w:hAnsi="Avenir Medium" w:cs="Times New Roman"/>
          <w:b/>
          <w:bCs/>
          <w:kern w:val="0"/>
          <w:lang w:eastAsia="en-GB"/>
          <w14:ligatures w14:val="none"/>
        </w:rPr>
      </w:pPr>
      <w:r>
        <w:rPr>
          <w:rFonts w:ascii="Avenir Medium" w:eastAsia="Times New Roman" w:hAnsi="Avenir Medium" w:cs="Times New Roman"/>
          <w:b/>
          <w:bCs/>
          <w:kern w:val="0"/>
          <w:lang w:eastAsia="en-GB"/>
          <w14:ligatures w14:val="none"/>
        </w:rPr>
        <w:t>16.07.2025</w:t>
      </w:r>
    </w:p>
    <w:p w14:paraId="589F5458" w14:textId="77777777" w:rsidR="00EA4A42" w:rsidRDefault="00EA4A42" w:rsidP="00EA4A42">
      <w:pPr>
        <w:spacing w:before="100" w:beforeAutospacing="1" w:after="100" w:afterAutospacing="1" w:line="240" w:lineRule="auto"/>
        <w:rPr>
          <w:rFonts w:ascii="Avenir Medium" w:eastAsia="Times New Roman" w:hAnsi="Avenir Medium" w:cs="Times New Roman"/>
          <w:b/>
          <w:bCs/>
          <w:kern w:val="0"/>
          <w:lang w:eastAsia="en-GB"/>
          <w14:ligatures w14:val="none"/>
        </w:rPr>
      </w:pPr>
      <w:r>
        <w:rPr>
          <w:rFonts w:ascii="Avenir Medium" w:eastAsia="Times New Roman" w:hAnsi="Avenir Medium" w:cs="Times New Roman"/>
          <w:b/>
          <w:bCs/>
          <w:kern w:val="0"/>
          <w:lang w:eastAsia="en-GB"/>
          <w14:ligatures w14:val="none"/>
        </w:rPr>
        <w:t xml:space="preserve">Approved by Marvic Fenech Adami, CFO, on behalf of AMDAP Ltd. </w:t>
      </w:r>
    </w:p>
    <w:p w14:paraId="737396B9" w14:textId="77777777" w:rsidR="00EA4A42" w:rsidRDefault="00EA4A42" w:rsidP="00EA4A42">
      <w:pPr>
        <w:spacing w:before="100" w:beforeAutospacing="1" w:after="100" w:afterAutospacing="1" w:line="240" w:lineRule="auto"/>
        <w:rPr>
          <w:rFonts w:ascii="Avenir Medium" w:eastAsia="Times New Roman" w:hAnsi="Avenir Medium" w:cs="Times New Roman"/>
          <w:b/>
          <w:bCs/>
          <w:kern w:val="0"/>
          <w:lang w:eastAsia="en-GB"/>
          <w14:ligatures w14:val="none"/>
        </w:rPr>
      </w:pPr>
      <w:r>
        <w:rPr>
          <w:rFonts w:ascii="Avenir Medium" w:eastAsia="Times New Roman" w:hAnsi="Avenir Medium" w:cs="Times New Roman"/>
          <w:b/>
          <w:bCs/>
          <w:kern w:val="0"/>
          <w:lang w:eastAsia="en-GB"/>
          <w14:ligatures w14:val="none"/>
        </w:rPr>
        <w:t>16.07.2025</w:t>
      </w:r>
    </w:p>
    <w:p w14:paraId="7389A853" w14:textId="77777777" w:rsidR="00F4017A" w:rsidRPr="00F4017A" w:rsidRDefault="00F4017A" w:rsidP="00F4017A">
      <w:pPr>
        <w:spacing w:after="0"/>
      </w:pPr>
    </w:p>
    <w:p w14:paraId="030B5B5D" w14:textId="77777777" w:rsidR="00F4017A" w:rsidRPr="00F4017A" w:rsidRDefault="00F4017A" w:rsidP="00F4017A">
      <w:pPr>
        <w:spacing w:before="100" w:beforeAutospacing="1" w:after="100" w:afterAutospacing="1" w:line="240" w:lineRule="auto"/>
        <w:rPr>
          <w:rFonts w:ascii="Avenir Medium" w:eastAsia="Times New Roman" w:hAnsi="Avenir Medium" w:cs="Times New Roman"/>
          <w:kern w:val="0"/>
          <w:lang w:eastAsia="en-GB"/>
          <w14:ligatures w14:val="none"/>
        </w:rPr>
      </w:pPr>
    </w:p>
    <w:p w14:paraId="7A636E84" w14:textId="77777777" w:rsidR="00F7662F" w:rsidRDefault="00F7662F"/>
    <w:sectPr w:rsidR="00F7662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venir Medium">
    <w:panose1 w:val="02000603020000020003"/>
    <w:charset w:val="00"/>
    <w:family w:val="auto"/>
    <w:pitch w:val="variable"/>
    <w:sig w:usb0="800000AF" w:usb1="5000204A" w:usb2="00000000" w:usb3="00000000" w:csb0="0000009B"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0745B"/>
    <w:multiLevelType w:val="hybridMultilevel"/>
    <w:tmpl w:val="DE82B3B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F920567"/>
    <w:multiLevelType w:val="hybridMultilevel"/>
    <w:tmpl w:val="DE82B3B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64C0A9E"/>
    <w:multiLevelType w:val="hybridMultilevel"/>
    <w:tmpl w:val="DE82B3B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EE96270"/>
    <w:multiLevelType w:val="hybridMultilevel"/>
    <w:tmpl w:val="DE82B3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0633808"/>
    <w:multiLevelType w:val="hybridMultilevel"/>
    <w:tmpl w:val="DE82B3BE"/>
    <w:lvl w:ilvl="0" w:tplc="FFFFFFFF">
      <w:start w:val="1"/>
      <w:numFmt w:val="decimal"/>
      <w:lvlText w:val="%1."/>
      <w:lvlJc w:val="left"/>
      <w:pPr>
        <w:ind w:left="643" w:hanging="360"/>
      </w:pPr>
      <w:rPr>
        <w:rFonts w:hint="default"/>
      </w:rPr>
    </w:lvl>
    <w:lvl w:ilvl="1" w:tplc="FFFFFFFF" w:tentative="1">
      <w:start w:val="1"/>
      <w:numFmt w:val="lowerLetter"/>
      <w:lvlText w:val="%2."/>
      <w:lvlJc w:val="left"/>
      <w:pPr>
        <w:ind w:left="1363" w:hanging="360"/>
      </w:pPr>
    </w:lvl>
    <w:lvl w:ilvl="2" w:tplc="FFFFFFFF" w:tentative="1">
      <w:start w:val="1"/>
      <w:numFmt w:val="lowerRoman"/>
      <w:lvlText w:val="%3."/>
      <w:lvlJc w:val="right"/>
      <w:pPr>
        <w:ind w:left="2083" w:hanging="180"/>
      </w:pPr>
    </w:lvl>
    <w:lvl w:ilvl="3" w:tplc="FFFFFFFF" w:tentative="1">
      <w:start w:val="1"/>
      <w:numFmt w:val="decimal"/>
      <w:lvlText w:val="%4."/>
      <w:lvlJc w:val="left"/>
      <w:pPr>
        <w:ind w:left="2803" w:hanging="360"/>
      </w:pPr>
    </w:lvl>
    <w:lvl w:ilvl="4" w:tplc="FFFFFFFF" w:tentative="1">
      <w:start w:val="1"/>
      <w:numFmt w:val="lowerLetter"/>
      <w:lvlText w:val="%5."/>
      <w:lvlJc w:val="left"/>
      <w:pPr>
        <w:ind w:left="3523" w:hanging="360"/>
      </w:pPr>
    </w:lvl>
    <w:lvl w:ilvl="5" w:tplc="FFFFFFFF" w:tentative="1">
      <w:start w:val="1"/>
      <w:numFmt w:val="lowerRoman"/>
      <w:lvlText w:val="%6."/>
      <w:lvlJc w:val="right"/>
      <w:pPr>
        <w:ind w:left="4243" w:hanging="180"/>
      </w:pPr>
    </w:lvl>
    <w:lvl w:ilvl="6" w:tplc="FFFFFFFF" w:tentative="1">
      <w:start w:val="1"/>
      <w:numFmt w:val="decimal"/>
      <w:lvlText w:val="%7."/>
      <w:lvlJc w:val="left"/>
      <w:pPr>
        <w:ind w:left="4963" w:hanging="360"/>
      </w:pPr>
    </w:lvl>
    <w:lvl w:ilvl="7" w:tplc="FFFFFFFF" w:tentative="1">
      <w:start w:val="1"/>
      <w:numFmt w:val="lowerLetter"/>
      <w:lvlText w:val="%8."/>
      <w:lvlJc w:val="left"/>
      <w:pPr>
        <w:ind w:left="5683" w:hanging="360"/>
      </w:pPr>
    </w:lvl>
    <w:lvl w:ilvl="8" w:tplc="FFFFFFFF" w:tentative="1">
      <w:start w:val="1"/>
      <w:numFmt w:val="lowerRoman"/>
      <w:lvlText w:val="%9."/>
      <w:lvlJc w:val="right"/>
      <w:pPr>
        <w:ind w:left="6403" w:hanging="180"/>
      </w:pPr>
    </w:lvl>
  </w:abstractNum>
  <w:abstractNum w:abstractNumId="5" w15:restartNumberingAfterBreak="0">
    <w:nsid w:val="5931687E"/>
    <w:multiLevelType w:val="hybridMultilevel"/>
    <w:tmpl w:val="DE82B3BE"/>
    <w:lvl w:ilvl="0" w:tplc="FFFFFFFF">
      <w:start w:val="1"/>
      <w:numFmt w:val="decimal"/>
      <w:lvlText w:val="%1."/>
      <w:lvlJc w:val="left"/>
      <w:pPr>
        <w:ind w:left="643" w:hanging="360"/>
      </w:pPr>
      <w:rPr>
        <w:rFonts w:hint="default"/>
      </w:rPr>
    </w:lvl>
    <w:lvl w:ilvl="1" w:tplc="FFFFFFFF" w:tentative="1">
      <w:start w:val="1"/>
      <w:numFmt w:val="lowerLetter"/>
      <w:lvlText w:val="%2."/>
      <w:lvlJc w:val="left"/>
      <w:pPr>
        <w:ind w:left="1363" w:hanging="360"/>
      </w:pPr>
    </w:lvl>
    <w:lvl w:ilvl="2" w:tplc="FFFFFFFF" w:tentative="1">
      <w:start w:val="1"/>
      <w:numFmt w:val="lowerRoman"/>
      <w:lvlText w:val="%3."/>
      <w:lvlJc w:val="right"/>
      <w:pPr>
        <w:ind w:left="2083" w:hanging="180"/>
      </w:pPr>
    </w:lvl>
    <w:lvl w:ilvl="3" w:tplc="FFFFFFFF" w:tentative="1">
      <w:start w:val="1"/>
      <w:numFmt w:val="decimal"/>
      <w:lvlText w:val="%4."/>
      <w:lvlJc w:val="left"/>
      <w:pPr>
        <w:ind w:left="2803" w:hanging="360"/>
      </w:pPr>
    </w:lvl>
    <w:lvl w:ilvl="4" w:tplc="FFFFFFFF" w:tentative="1">
      <w:start w:val="1"/>
      <w:numFmt w:val="lowerLetter"/>
      <w:lvlText w:val="%5."/>
      <w:lvlJc w:val="left"/>
      <w:pPr>
        <w:ind w:left="3523" w:hanging="360"/>
      </w:pPr>
    </w:lvl>
    <w:lvl w:ilvl="5" w:tplc="FFFFFFFF" w:tentative="1">
      <w:start w:val="1"/>
      <w:numFmt w:val="lowerRoman"/>
      <w:lvlText w:val="%6."/>
      <w:lvlJc w:val="right"/>
      <w:pPr>
        <w:ind w:left="4243" w:hanging="180"/>
      </w:pPr>
    </w:lvl>
    <w:lvl w:ilvl="6" w:tplc="FFFFFFFF" w:tentative="1">
      <w:start w:val="1"/>
      <w:numFmt w:val="decimal"/>
      <w:lvlText w:val="%7."/>
      <w:lvlJc w:val="left"/>
      <w:pPr>
        <w:ind w:left="4963" w:hanging="360"/>
      </w:pPr>
    </w:lvl>
    <w:lvl w:ilvl="7" w:tplc="FFFFFFFF" w:tentative="1">
      <w:start w:val="1"/>
      <w:numFmt w:val="lowerLetter"/>
      <w:lvlText w:val="%8."/>
      <w:lvlJc w:val="left"/>
      <w:pPr>
        <w:ind w:left="5683" w:hanging="360"/>
      </w:pPr>
    </w:lvl>
    <w:lvl w:ilvl="8" w:tplc="FFFFFFFF" w:tentative="1">
      <w:start w:val="1"/>
      <w:numFmt w:val="lowerRoman"/>
      <w:lvlText w:val="%9."/>
      <w:lvlJc w:val="right"/>
      <w:pPr>
        <w:ind w:left="6403" w:hanging="180"/>
      </w:pPr>
    </w:lvl>
  </w:abstractNum>
  <w:abstractNum w:abstractNumId="6" w15:restartNumberingAfterBreak="0">
    <w:nsid w:val="73F1247B"/>
    <w:multiLevelType w:val="hybridMultilevel"/>
    <w:tmpl w:val="DE82B3B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459884698">
    <w:abstractNumId w:val="3"/>
  </w:num>
  <w:num w:numId="2" w16cid:durableId="1793088229">
    <w:abstractNumId w:val="1"/>
  </w:num>
  <w:num w:numId="3" w16cid:durableId="1475296857">
    <w:abstractNumId w:val="4"/>
  </w:num>
  <w:num w:numId="4" w16cid:durableId="108092984">
    <w:abstractNumId w:val="5"/>
  </w:num>
  <w:num w:numId="5" w16cid:durableId="1872450676">
    <w:abstractNumId w:val="2"/>
  </w:num>
  <w:num w:numId="6" w16cid:durableId="1017387844">
    <w:abstractNumId w:val="6"/>
  </w:num>
  <w:num w:numId="7" w16cid:durableId="6632457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62F"/>
    <w:rsid w:val="00127535"/>
    <w:rsid w:val="00135228"/>
    <w:rsid w:val="002F534A"/>
    <w:rsid w:val="006C75BB"/>
    <w:rsid w:val="00AC7289"/>
    <w:rsid w:val="00AF7DA0"/>
    <w:rsid w:val="00B00AF2"/>
    <w:rsid w:val="00EA4A42"/>
    <w:rsid w:val="00F4017A"/>
    <w:rsid w:val="00F766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42112"/>
  <w15:chartTrackingRefBased/>
  <w15:docId w15:val="{66C7F7B6-C1C9-45B7-B6E2-1513F2301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766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766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7662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7662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7662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7662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662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662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662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66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766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766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766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766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766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66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66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662F"/>
    <w:rPr>
      <w:rFonts w:eastAsiaTheme="majorEastAsia" w:cstheme="majorBidi"/>
      <w:color w:val="272727" w:themeColor="text1" w:themeTint="D8"/>
    </w:rPr>
  </w:style>
  <w:style w:type="paragraph" w:styleId="Title">
    <w:name w:val="Title"/>
    <w:basedOn w:val="Normal"/>
    <w:next w:val="Normal"/>
    <w:link w:val="TitleChar"/>
    <w:uiPriority w:val="10"/>
    <w:qFormat/>
    <w:rsid w:val="00F766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66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662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66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662F"/>
    <w:pPr>
      <w:spacing w:before="160"/>
      <w:jc w:val="center"/>
    </w:pPr>
    <w:rPr>
      <w:i/>
      <w:iCs/>
      <w:color w:val="404040" w:themeColor="text1" w:themeTint="BF"/>
    </w:rPr>
  </w:style>
  <w:style w:type="character" w:customStyle="1" w:styleId="QuoteChar">
    <w:name w:val="Quote Char"/>
    <w:basedOn w:val="DefaultParagraphFont"/>
    <w:link w:val="Quote"/>
    <w:uiPriority w:val="29"/>
    <w:rsid w:val="00F7662F"/>
    <w:rPr>
      <w:i/>
      <w:iCs/>
      <w:color w:val="404040" w:themeColor="text1" w:themeTint="BF"/>
    </w:rPr>
  </w:style>
  <w:style w:type="paragraph" w:styleId="ListParagraph">
    <w:name w:val="List Paragraph"/>
    <w:basedOn w:val="Normal"/>
    <w:uiPriority w:val="34"/>
    <w:qFormat/>
    <w:rsid w:val="00F7662F"/>
    <w:pPr>
      <w:ind w:left="720"/>
      <w:contextualSpacing/>
    </w:pPr>
  </w:style>
  <w:style w:type="character" w:styleId="IntenseEmphasis">
    <w:name w:val="Intense Emphasis"/>
    <w:basedOn w:val="DefaultParagraphFont"/>
    <w:uiPriority w:val="21"/>
    <w:qFormat/>
    <w:rsid w:val="00F7662F"/>
    <w:rPr>
      <w:i/>
      <w:iCs/>
      <w:color w:val="0F4761" w:themeColor="accent1" w:themeShade="BF"/>
    </w:rPr>
  </w:style>
  <w:style w:type="paragraph" w:styleId="IntenseQuote">
    <w:name w:val="Intense Quote"/>
    <w:basedOn w:val="Normal"/>
    <w:next w:val="Normal"/>
    <w:link w:val="IntenseQuoteChar"/>
    <w:uiPriority w:val="30"/>
    <w:qFormat/>
    <w:rsid w:val="00F766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7662F"/>
    <w:rPr>
      <w:i/>
      <w:iCs/>
      <w:color w:val="0F4761" w:themeColor="accent1" w:themeShade="BF"/>
    </w:rPr>
  </w:style>
  <w:style w:type="character" w:styleId="IntenseReference">
    <w:name w:val="Intense Reference"/>
    <w:basedOn w:val="DefaultParagraphFont"/>
    <w:uiPriority w:val="32"/>
    <w:qFormat/>
    <w:rsid w:val="00F7662F"/>
    <w:rPr>
      <w:b/>
      <w:bCs/>
      <w:smallCaps/>
      <w:color w:val="0F4761" w:themeColor="accent1" w:themeShade="BF"/>
      <w:spacing w:val="5"/>
    </w:rPr>
  </w:style>
  <w:style w:type="table" w:styleId="TableGrid">
    <w:name w:val="Table Grid"/>
    <w:basedOn w:val="TableNormal"/>
    <w:uiPriority w:val="39"/>
    <w:rsid w:val="00F766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464</Words>
  <Characters>2647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McCabe</dc:creator>
  <cp:keywords/>
  <dc:description/>
  <cp:lastModifiedBy>Tara Luckman</cp:lastModifiedBy>
  <cp:revision>3</cp:revision>
  <dcterms:created xsi:type="dcterms:W3CDTF">2025-07-07T18:12:00Z</dcterms:created>
  <dcterms:modified xsi:type="dcterms:W3CDTF">2025-09-16T11:56:00Z</dcterms:modified>
</cp:coreProperties>
</file>